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2bis</w:t>
      </w:r>
      <w:r>
        <w:rPr>
          <w:b/>
          <w:i/>
          <w:sz w:val="28"/>
        </w:rPr>
        <w:tab/>
      </w:r>
      <w:r>
        <w:rPr>
          <w:rFonts w:hint="eastAsia"/>
          <w:b/>
          <w:sz w:val="24"/>
        </w:rPr>
        <w:t>R4-2</w:t>
      </w:r>
      <w:r>
        <w:rPr>
          <w:rFonts w:hint="eastAsia" w:eastAsia="宋体"/>
          <w:b/>
          <w:sz w:val="24"/>
          <w:lang w:val="en-US" w:eastAsia="zh-CN"/>
        </w:rPr>
        <w:t>415815</w:t>
      </w:r>
      <w:bookmarkStart w:id="5" w:name="_GoBack"/>
      <w:bookmarkEnd w:id="5"/>
    </w:p>
    <w:p>
      <w:pPr>
        <w:pStyle w:val="73"/>
        <w:outlineLvl w:val="0"/>
        <w:rPr>
          <w:b/>
          <w:sz w:val="24"/>
        </w:rPr>
      </w:pPr>
      <w:r>
        <w:rPr>
          <w:rFonts w:hint="eastAsia" w:eastAsia="宋体" w:cs="Arial"/>
          <w:b/>
          <w:sz w:val="24"/>
          <w:szCs w:val="24"/>
          <w:lang w:val="en-US" w:eastAsia="zh-CN"/>
        </w:rPr>
        <w:t>Hefei,</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14</w:t>
      </w:r>
      <w:r>
        <w:rPr>
          <w:rFonts w:hint="eastAsia" w:ascii="Arial" w:hAnsi="Arial" w:eastAsia="宋体" w:cs="Arial"/>
          <w:b/>
          <w:sz w:val="24"/>
          <w:szCs w:val="24"/>
          <w:lang w:eastAsia="zh-CN"/>
        </w:rPr>
        <w:t>th–</w:t>
      </w:r>
      <w:r>
        <w:rPr>
          <w:rFonts w:hint="eastAsia" w:cs="Arial"/>
          <w:b/>
          <w:sz w:val="24"/>
          <w:szCs w:val="24"/>
          <w:lang w:val="en-US" w:eastAsia="zh-CN"/>
        </w:rPr>
        <w:t>18th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8"/>
      <w:bookmarkStart w:id="1" w:name="OLE_LINK14"/>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power domain enhancements for single carrier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6.1.1.2.1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In RAN#102 meeting, a new Work Item [1] was approved on UE RF enhancements for NR FR1/FR2 and EN-DC, Phase 4, one of the objectives is about power boosting and/or MPR reduction as follows. In this contribution, we want to share some further views on power domain enhancements for single carrier.</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2"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2"/>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3" w:name="OLE_LINK11"/>
            <w:r>
              <w:rPr>
                <w:rFonts w:ascii="Times New Roman" w:hAnsi="Times New Roman" w:cs="Times New Roman"/>
                <w:sz w:val="20"/>
                <w:szCs w:val="20"/>
              </w:rPr>
              <w:t xml:space="preserve">MPR applicability based on the UL CCs with activated cells </w:t>
            </w:r>
            <w:bookmarkEnd w:id="3"/>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4" w:name="OLE_LINK13"/>
            <w:r>
              <w:rPr>
                <w:rFonts w:ascii="Times New Roman" w:hAnsi="Times New Roman" w:cs="Times New Roman"/>
                <w:sz w:val="20"/>
                <w:szCs w:val="20"/>
              </w:rPr>
              <w:t>SCell is activated</w:t>
            </w:r>
            <w:bookmarkEnd w:id="4"/>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val="0"/>
              <w:numPr>
                <w:ilvl w:val="2"/>
                <w:numId w:val="0"/>
              </w:numPr>
              <w:kinsoku/>
              <w:wordWrap/>
              <w:overflowPunct w:val="0"/>
              <w:topLinePunct w:val="0"/>
              <w:autoSpaceDE w:val="0"/>
              <w:autoSpaceDN w:val="0"/>
              <w:bidi w:val="0"/>
              <w:adjustRightInd w:val="0"/>
              <w:snapToGrid/>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1-2-2: Approaches of converting outer RB allocation to inner RB allocation</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Proposals</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A</w:t>
            </w:r>
            <w:r>
              <w:rPr>
                <w:rFonts w:eastAsia="宋体"/>
                <w:color w:val="000000" w:themeColor="text1"/>
                <w:sz w:val="20"/>
                <w:szCs w:val="20"/>
                <w:lang w:eastAsia="zh-CN"/>
                <w14:textFill>
                  <w14:solidFill>
                    <w14:schemeClr w14:val="tx1"/>
                  </w14:solidFill>
                </w14:textFill>
              </w:rPr>
              <w:t>pproach 1: UE CBW based</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Option 1: The extended UE CBW based method as captured in the WF in last meeting.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A</w:t>
            </w:r>
            <w:r>
              <w:rPr>
                <w:rFonts w:eastAsia="宋体"/>
                <w:color w:val="000000" w:themeColor="text1"/>
                <w:sz w:val="20"/>
                <w:szCs w:val="20"/>
                <w:lang w:eastAsia="zh-CN"/>
                <w14:textFill>
                  <w14:solidFill>
                    <w14:schemeClr w14:val="tx1"/>
                  </w14:solidFill>
                </w14:textFill>
              </w:rPr>
              <w:t>pproach 2: BS CBW based</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Option 2: BS CBW based inner/outer method. (Skyworks)</w:t>
            </w:r>
          </w:p>
          <w:p>
            <w:pPr>
              <w:pStyle w:val="34"/>
              <w:keepNext w:val="0"/>
              <w:keepLines w:val="0"/>
              <w:pageBreakBefore w:val="0"/>
              <w:widowControl w:val="0"/>
              <w:numPr>
                <w:ilvl w:val="3"/>
                <w:numId w:val="9"/>
              </w:numPr>
              <w:kinsoku/>
              <w:wordWrap/>
              <w:overflowPunct/>
              <w:topLinePunct w:val="0"/>
              <w:autoSpaceDE/>
              <w:autoSpaceDN/>
              <w:bidi w:val="0"/>
              <w:adjustRightInd/>
              <w:snapToGri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BS NRB instead of UE NRB.</w:t>
            </w:r>
          </w:p>
          <w:p>
            <w:pPr>
              <w:pStyle w:val="34"/>
              <w:keepNext w:val="0"/>
              <w:keepLines w:val="0"/>
              <w:pageBreakBefore w:val="0"/>
              <w:widowControl w:val="0"/>
              <w:numPr>
                <w:ilvl w:val="3"/>
                <w:numId w:val="9"/>
              </w:numPr>
              <w:kinsoku/>
              <w:wordWrap/>
              <w:overflowPunct/>
              <w:topLinePunct w:val="0"/>
              <w:autoSpaceDE/>
              <w:autoSpaceDN/>
              <w:bidi w:val="0"/>
              <w:adjustRightInd/>
              <w:snapToGrid/>
              <w:spacing w:after="120"/>
              <w:ind w:left="2523" w:hanging="363"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Adding the amount of RB by which the UE RBs are shifted within the BS RBs to the UE RBstart.</w:t>
            </w:r>
          </w:p>
          <w:p>
            <w:pPr>
              <w:pStyle w:val="34"/>
              <w:keepNext w:val="0"/>
              <w:keepLines w:val="0"/>
              <w:pageBreakBefore w:val="0"/>
              <w:widowControl w:val="0"/>
              <w:numPr>
                <w:ilvl w:val="3"/>
                <w:numId w:val="9"/>
              </w:numPr>
              <w:kinsoku/>
              <w:wordWrap/>
              <w:overflowPunct/>
              <w:topLinePunct w:val="0"/>
              <w:autoSpaceDE/>
              <w:autoSpaceDN/>
              <w:bidi w:val="0"/>
              <w:adjustRightInd/>
              <w:snapToGri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The base station shall signal the extended NRB and RBstart shift for the UE to calculate the new inner, outer, and edge regions and reduce MPR.</w:t>
            </w:r>
          </w:p>
          <w:p>
            <w:pPr>
              <w:pStyle w:val="34"/>
              <w:keepNext w:val="0"/>
              <w:keepLines w:val="0"/>
              <w:pageBreakBefore w:val="0"/>
              <w:widowControl w:val="0"/>
              <w:numPr>
                <w:ilvl w:val="3"/>
                <w:numId w:val="9"/>
              </w:numPr>
              <w:kinsoku/>
              <w:wordWrap/>
              <w:overflowPunct/>
              <w:topLinePunct w:val="0"/>
              <w:autoSpaceDE/>
              <w:autoSpaceDN/>
              <w:bidi w:val="0"/>
              <w:adjustRightInd/>
              <w:snapToGri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For margin or stricter emissions, the BS can signal a reduced NRB and RBshift.</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Option 2a: the feature ‘narrower UE channel BW within wider BS bandwidth’ is specified for a UE configured with a UE-specific CHBW within a wider BS bandwidth, the said UE compliant with selected OOBE requirements applicable for the wider BS bandwidth (the cell bandwidth). (Ericsson, Nokia)</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textAlignment w:val="auto"/>
              <w:rPr>
                <w:rFonts w:hint="default"/>
                <w:b/>
                <w:bCs/>
                <w:i/>
                <w:iCs/>
                <w:sz w:val="20"/>
                <w:szCs w:val="20"/>
                <w:vertAlign w:val="baseline"/>
                <w:lang w:val="en-US" w:eastAsia="zh-CN"/>
              </w:rPr>
            </w:pPr>
            <w:r>
              <w:rPr>
                <w:rFonts w:eastAsia="宋体"/>
                <w:color w:val="000000" w:themeColor="text1"/>
                <w:sz w:val="20"/>
                <w:szCs w:val="20"/>
                <w:lang w:eastAsia="zh-CN"/>
                <w14:textFill>
                  <w14:solidFill>
                    <w14:schemeClr w14:val="tx1"/>
                  </w14:solidFill>
                </w14:textFill>
              </w:rPr>
              <w:t xml:space="preserve">Focused on extended UE CBW on common issues, which could also be applied for BS CBW based approach </w:t>
            </w:r>
          </w:p>
          <w:p>
            <w:pPr>
              <w:pStyle w:val="34"/>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eastAsia="宋体"/>
                <w:color w:val="000000" w:themeColor="text1"/>
                <w:sz w:val="20"/>
                <w:szCs w:val="20"/>
                <w:lang w:eastAsia="zh-CN"/>
                <w14:textFill>
                  <w14:solidFill>
                    <w14:schemeClr w14:val="tx1"/>
                  </w14:solidFill>
                </w14:textFill>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1-2-5: Boundary to apply ACLR and SEM</w:t>
            </w:r>
          </w:p>
          <w:p>
            <w:pPr>
              <w:pStyle w:val="34"/>
              <w:numPr>
                <w:ilvl w:val="0"/>
                <w:numId w:val="9"/>
              </w:numPr>
              <w:overflowPunct/>
              <w:autoSpaceDE/>
              <w:autoSpaceDN/>
              <w:adjustRightInd/>
              <w:spacing w:before="120" w:beforeLines="50" w:after="0"/>
              <w:ind w:left="714" w:hanging="357"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1: ACLR and SEM should be applicable from the edge of extended UE CBW instead of the BS CBW. (Samsung, Sony, ZTE, vivo, LGE)</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Proposal 2: ACLR, SEM and spurious emissions would be defined as of today but based on BS channel bandwidth. (Nokia, Ericsson)</w:t>
            </w:r>
          </w:p>
          <w:p>
            <w:pPr>
              <w:overflowPunct w:val="0"/>
              <w:autoSpaceDE w:val="0"/>
              <w:autoSpaceDN w:val="0"/>
              <w:adjustRightInd w:val="0"/>
              <w:spacing w:after="120"/>
              <w:jc w:val="both"/>
              <w:textAlignment w:val="baseline"/>
              <w:rPr>
                <w:color w:val="000000" w:themeColor="text1"/>
                <w:sz w:val="20"/>
                <w:szCs w:val="20"/>
                <w:lang w:eastAsia="zh-CN"/>
                <w14:textFill>
                  <w14:solidFill>
                    <w14:schemeClr w14:val="tx1"/>
                  </w14:solidFill>
                </w14:textFill>
              </w:rPr>
            </w:pP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hint="eastAsia" w:eastAsia="宋体"/>
                <w:color w:val="000000" w:themeColor="text1"/>
                <w:sz w:val="20"/>
                <w:szCs w:val="20"/>
                <w:lang w:eastAsia="zh-CN"/>
                <w14:textFill>
                  <w14:solidFill>
                    <w14:schemeClr w14:val="tx1"/>
                  </w14:solidFill>
                </w14:textFill>
              </w:rPr>
              <w:t>F</w:t>
            </w:r>
            <w:r>
              <w:rPr>
                <w:rFonts w:eastAsia="宋体"/>
                <w:color w:val="000000" w:themeColor="text1"/>
                <w:sz w:val="20"/>
                <w:szCs w:val="20"/>
                <w:lang w:eastAsia="zh-CN"/>
                <w14:textFill>
                  <w14:solidFill>
                    <w14:schemeClr w14:val="tx1"/>
                  </w14:solidFill>
                </w14:textFill>
              </w:rPr>
              <w:t>FS in next meeting</w:t>
            </w:r>
          </w:p>
          <w:p>
            <w:pPr>
              <w:overflowPunct w:val="0"/>
              <w:autoSpaceDE w:val="0"/>
              <w:autoSpaceDN w:val="0"/>
              <w:adjustRightInd w:val="0"/>
              <w:spacing w:after="120"/>
              <w:jc w:val="both"/>
              <w:textAlignment w:val="baseline"/>
              <w:rPr>
                <w:color w:val="000000" w:themeColor="text1"/>
                <w:sz w:val="20"/>
                <w:szCs w:val="20"/>
                <w:lang w:eastAsia="zh-CN"/>
                <w14:textFill>
                  <w14:solidFill>
                    <w14:schemeClr w14:val="tx1"/>
                  </w14:solidFill>
                </w14:textFill>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1-2-6: Boundary to apply SE</w:t>
            </w: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[SE applicability depends on the extended CBW]</w:t>
            </w:r>
          </w:p>
          <w:p>
            <w:pPr>
              <w:pStyle w:val="34"/>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eastAsia="宋体"/>
                <w:color w:val="000000" w:themeColor="text1"/>
                <w:sz w:val="20"/>
                <w:szCs w:val="20"/>
                <w:lang w:val="en-US" w:eastAsia="zh-CN"/>
                <w14:textFill>
                  <w14:solidFill>
                    <w14:schemeClr w14:val="tx1"/>
                  </w14:solidFill>
                </w14:textFill>
              </w:rPr>
            </w:pPr>
          </w:p>
        </w:tc>
      </w:tr>
    </w:tbl>
    <w:p>
      <w:pPr>
        <w:rPr>
          <w:rFonts w:hint="eastAsia"/>
          <w:sz w:val="20"/>
          <w:szCs w:val="20"/>
          <w:lang w:val="en-US" w:eastAsia="zh-CN"/>
        </w:rPr>
      </w:pPr>
      <w:r>
        <w:rPr>
          <w:rFonts w:hint="eastAsia"/>
          <w:sz w:val="20"/>
          <w:szCs w:val="20"/>
          <w:lang w:val="en-US" w:eastAsia="zh-CN"/>
        </w:rPr>
        <w:t xml:space="preserve">In last meeting, two approaches were raised of convert outer RB allocation to inner RB allocation, and we analyse two approaches from the following perspective. </w:t>
      </w:r>
    </w:p>
    <w:p>
      <w:pPr>
        <w:rPr>
          <w:rFonts w:hint="default"/>
          <w:sz w:val="20"/>
          <w:szCs w:val="20"/>
          <w:lang w:val="en-US" w:eastAsia="zh-CN"/>
        </w:rPr>
      </w:pPr>
      <w:r>
        <w:rPr>
          <w:rFonts w:hint="eastAsia"/>
          <w:sz w:val="20"/>
          <w:szCs w:val="20"/>
          <w:lang w:val="en-US" w:eastAsia="zh-CN"/>
        </w:rPr>
        <w:t xml:space="preserve">First of all, also the most important perspective, we need to evaluate two approaches from the impact to existing RF requirements perspective. For this scenario, we need to focus on the impact to spurious emission boundary. In [2], we compare the difference of OOB boundary between 3GPP and ITU, it can be observed that OOB boundary defined in 3GPP is stricter than ITU, which means there are some space to relax OOB boundary. Furthermore, we conclude that for BWchannel≥10MHz with 30 MHz &lt; fc &lt; 1 GHz, there are 5MHz of OOB boundary can be relaxed, and for BWchannel≥10MHz with fc &gt; 1 GHz, there are 1/2*BWchannel and even more can be relaxed, where </w:t>
      </w:r>
      <w:r>
        <w:rPr>
          <w:rFonts w:hint="eastAsia" w:cs="Times New Roman"/>
          <w:i/>
          <w:iCs/>
          <w:sz w:val="20"/>
          <w:szCs w:val="20"/>
          <w:lang w:val="en-US" w:eastAsia="zh-CN"/>
        </w:rPr>
        <w:t>f</w:t>
      </w:r>
      <w:r>
        <w:rPr>
          <w:rFonts w:hint="eastAsia" w:cs="Times New Roman"/>
          <w:i/>
          <w:iCs/>
          <w:sz w:val="20"/>
          <w:szCs w:val="20"/>
          <w:vertAlign w:val="subscript"/>
          <w:lang w:val="en-US" w:eastAsia="zh-CN"/>
        </w:rPr>
        <w:t>c</w:t>
      </w:r>
      <w:r>
        <w:rPr>
          <w:rFonts w:hint="eastAsia" w:cs="Times New Roman"/>
          <w:sz w:val="20"/>
          <w:szCs w:val="20"/>
          <w:lang w:val="en-US" w:eastAsia="zh-CN"/>
        </w:rPr>
        <w:t xml:space="preserve"> is the centre frequency of the necessary bandwidth of an emission</w:t>
      </w:r>
      <w:r>
        <w:rPr>
          <w:rFonts w:hint="eastAsia"/>
          <w:sz w:val="20"/>
          <w:szCs w:val="20"/>
          <w:lang w:val="en-US" w:eastAsia="zh-CN"/>
        </w:rPr>
        <w:t>. If approach 2 is applied to RedCap UE operating with 20MHz channel bandwidth located at the center of 100MHz BS channel bandwidth, out of band emission will apply from the edge of 100MHz BS channel bandwidth, it means spurious emission boundary will relax 40MHz, which will be looser than the requirement specified in ITU. Accordingly, ACLR and SEM should be applicable from the edge of extended UE CBW instead of the BS CBW. And, the boundary to apply SE should depend on the extended CBW.</w:t>
      </w:r>
    </w:p>
    <w:p>
      <w:pPr>
        <w:rPr>
          <w:rFonts w:hint="default"/>
          <w:b/>
          <w:bCs/>
          <w:i w:val="0"/>
          <w:iCs w:val="0"/>
          <w:sz w:val="20"/>
          <w:szCs w:val="20"/>
          <w:lang w:val="en-US" w:eastAsia="zh-CN"/>
        </w:rPr>
      </w:pPr>
      <w:r>
        <w:rPr>
          <w:rFonts w:hint="eastAsia"/>
          <w:b/>
          <w:bCs/>
          <w:i w:val="0"/>
          <w:iCs w:val="0"/>
          <w:sz w:val="20"/>
          <w:szCs w:val="20"/>
          <w:lang w:val="en-US" w:eastAsia="zh-CN"/>
        </w:rPr>
        <w:t>Proposal 1: From the impact to spurious emission boundary perspective, it is proposed to use UE CBW based approach of converting outer RB allocation to inner RB allocation.</w:t>
      </w:r>
    </w:p>
    <w:p>
      <w:pPr>
        <w:rPr>
          <w:rFonts w:hint="default"/>
          <w:b/>
          <w:bCs/>
          <w:i w:val="0"/>
          <w:iCs w:val="0"/>
          <w:sz w:val="20"/>
          <w:szCs w:val="20"/>
          <w:lang w:val="en-US" w:eastAsia="zh-CN"/>
        </w:rPr>
      </w:pPr>
      <w:r>
        <w:rPr>
          <w:rFonts w:hint="eastAsia"/>
          <w:b/>
          <w:bCs/>
          <w:i w:val="0"/>
          <w:iCs w:val="0"/>
          <w:sz w:val="20"/>
          <w:szCs w:val="20"/>
          <w:lang w:val="en-US" w:eastAsia="zh-CN"/>
        </w:rPr>
        <w:t>Proposal 2: ACLR and SEM should be applicable from the edge of extended UE CBW instead of the BS CBW.</w:t>
      </w:r>
    </w:p>
    <w:p>
      <w:pPr>
        <w:rPr>
          <w:rFonts w:hint="eastAsia"/>
          <w:b/>
          <w:bCs/>
          <w:i w:val="0"/>
          <w:iCs w:val="0"/>
          <w:sz w:val="20"/>
          <w:szCs w:val="20"/>
          <w:lang w:val="en-US" w:eastAsia="zh-CN"/>
        </w:rPr>
      </w:pPr>
      <w:r>
        <w:rPr>
          <w:rFonts w:hint="eastAsia"/>
          <w:b/>
          <w:bCs/>
          <w:i w:val="0"/>
          <w:iCs w:val="0"/>
          <w:sz w:val="20"/>
          <w:szCs w:val="20"/>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1-2-4: Whether and where to use IBE in the larger BS CBW</w:t>
            </w: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Focus on how to extend IBE for usage between edges of UE CBW and extended UE CBW</w:t>
            </w:r>
          </w:p>
          <w:p>
            <w:pPr>
              <w:overflowPunct w:val="0"/>
              <w:autoSpaceDE w:val="0"/>
              <w:autoSpaceDN w:val="0"/>
              <w:adjustRightInd w:val="0"/>
              <w:spacing w:after="180"/>
              <w:textAlignment w:val="baseline"/>
              <w:rPr>
                <w:rFonts w:hint="eastAsia" w:cs="Times New Roman"/>
                <w:sz w:val="20"/>
                <w:szCs w:val="20"/>
                <w:vertAlign w:val="baseline"/>
                <w:lang w:val="en-US" w:eastAsia="zh-CN"/>
              </w:rPr>
            </w:pPr>
          </w:p>
        </w:tc>
      </w:tr>
    </w:tbl>
    <w:p>
      <w:pPr>
        <w:rPr>
          <w:rFonts w:hint="default" w:cs="Times New Roman"/>
          <w:sz w:val="20"/>
          <w:szCs w:val="20"/>
          <w:lang w:val="en-US" w:eastAsia="zh-CN"/>
        </w:rPr>
      </w:pPr>
      <w:r>
        <w:rPr>
          <w:rFonts w:hint="eastAsia" w:cs="Times New Roman"/>
          <w:sz w:val="20"/>
          <w:szCs w:val="20"/>
          <w:lang w:val="en-US" w:eastAsia="zh-CN"/>
        </w:rPr>
        <w:t xml:space="preserve">According to the following equation of general requirement for in-band emissions, the limit is related to the UE channel bandwidth, allocated RB and the starting frequency offset between the allocated RB and the measured non-allocated RB. Based on the reason for limiting in band emission, the interference from UE that is received with high power at the gNB may drastically reduce the SNR for another UE that is received with weaker signal strength, and the situation improves significantly if some sort of transmit power control in the uplink is used. We can not revise the general limit equation of IBE based on the </w:t>
      </w:r>
      <w:r>
        <w:rPr>
          <w:rFonts w:eastAsia="宋体"/>
          <w:color w:val="000000" w:themeColor="text1"/>
          <w:sz w:val="20"/>
          <w:szCs w:val="20"/>
          <w:lang w:eastAsia="zh-CN"/>
          <w14:textFill>
            <w14:solidFill>
              <w14:schemeClr w14:val="tx1"/>
            </w14:solidFill>
          </w14:textFill>
        </w:rPr>
        <w:t>extended UE CBW</w:t>
      </w:r>
      <w:r>
        <w:rPr>
          <w:rFonts w:hint="eastAsia"/>
          <w:color w:val="000000" w:themeColor="text1"/>
          <w:sz w:val="20"/>
          <w:szCs w:val="20"/>
          <w:lang w:val="en-US" w:eastAsia="zh-CN"/>
          <w14:textFill>
            <w14:solidFill>
              <w14:schemeClr w14:val="tx1"/>
            </w14:solidFill>
          </w14:textFill>
        </w:rPr>
        <w:t xml:space="preserve"> since we deploy UE based on the real UE CBW instead of</w:t>
      </w:r>
      <w:r>
        <w:rPr>
          <w:rFonts w:hint="eastAsia" w:cs="Times New Roman"/>
          <w:sz w:val="20"/>
          <w:szCs w:val="20"/>
          <w:lang w:val="en-US" w:eastAsia="zh-CN"/>
        </w:rPr>
        <w:t xml:space="preserve"> </w:t>
      </w:r>
      <w:r>
        <w:rPr>
          <w:rFonts w:eastAsia="宋体"/>
          <w:color w:val="000000" w:themeColor="text1"/>
          <w:sz w:val="20"/>
          <w:szCs w:val="20"/>
          <w:lang w:eastAsia="zh-CN"/>
          <w14:textFill>
            <w14:solidFill>
              <w14:schemeClr w14:val="tx1"/>
            </w14:solidFill>
          </w14:textFill>
        </w:rPr>
        <w:t>extended UE CBW</w:t>
      </w:r>
      <w:r>
        <w:rPr>
          <w:rFonts w:hint="eastAsia"/>
          <w:color w:val="000000" w:themeColor="text1"/>
          <w:sz w:val="20"/>
          <w:szCs w:val="20"/>
          <w:lang w:val="en-US" w:eastAsia="zh-CN"/>
          <w14:textFill>
            <w14:solidFill>
              <w14:schemeClr w14:val="tx1"/>
            </w14:solidFill>
          </w14:textFill>
        </w:rPr>
        <w:t>.</w:t>
      </w:r>
    </w:p>
    <w:p>
      <w:pPr>
        <w:jc w:val="center"/>
        <w:rPr>
          <w:rFonts w:hint="eastAsia" w:cs="Times New Roman"/>
          <w:sz w:val="20"/>
          <w:szCs w:val="20"/>
          <w:lang w:val="en-US" w:eastAsia="zh-CN"/>
        </w:rPr>
      </w:pPr>
      <w:r>
        <w:rPr>
          <w:rFonts w:cs="Arial"/>
          <w:position w:val="-54"/>
        </w:rPr>
        <w:object>
          <v:shape id="_x0000_i1025" o:spt="75" type="#_x0000_t75" style="height:45.8pt;width:179.8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pPr>
        <w:rPr>
          <w:rFonts w:hint="eastAsia"/>
          <w:b/>
          <w:bCs/>
          <w:i w:val="0"/>
          <w:iCs w:val="0"/>
          <w:sz w:val="20"/>
          <w:szCs w:val="20"/>
          <w:lang w:val="en-US" w:eastAsia="zh-CN"/>
        </w:rPr>
      </w:pPr>
      <w:r>
        <w:rPr>
          <w:rFonts w:hint="eastAsia"/>
          <w:b/>
          <w:bCs/>
          <w:i w:val="0"/>
          <w:iCs w:val="0"/>
          <w:sz w:val="20"/>
          <w:szCs w:val="20"/>
          <w:lang w:val="en-US" w:eastAsia="zh-CN"/>
        </w:rPr>
        <w:t>Proposal 3: When extend IBE for usage between edges of UE CBW and extended UE CBW, it can not revise the general limit equation of IBE based on the extended UE CBW.</w:t>
      </w:r>
    </w:p>
    <w:p>
      <w:pPr>
        <w:rPr>
          <w:rFonts w:hint="default"/>
          <w:b/>
          <w:bCs/>
          <w:i w:val="0"/>
          <w:iCs w:val="0"/>
          <w:sz w:val="20"/>
          <w:szCs w:val="20"/>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jc w:val="both"/>
              <w:textAlignment w:val="baseline"/>
              <w:rPr>
                <w:color w:val="000000" w:themeColor="text1"/>
                <w:sz w:val="20"/>
                <w:szCs w:val="20"/>
                <w:lang w:eastAsia="zh-CN"/>
                <w14:textFill>
                  <w14:solidFill>
                    <w14:schemeClr w14:val="tx1"/>
                  </w14:solidFill>
                </w14:textFill>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0000" w:themeColor="text1"/>
                <w:sz w:val="20"/>
                <w:szCs w:val="20"/>
                <w:u w:val="single"/>
                <w:lang w:val="en-US" w:eastAsia="ko-KR"/>
                <w14:textFill>
                  <w14:solidFill>
                    <w14:schemeClr w14:val="tx1"/>
                  </w14:solidFill>
                </w14:textFill>
              </w:rPr>
            </w:pPr>
            <w:r>
              <w:rPr>
                <w:rFonts w:ascii="Times New Roman" w:hAnsi="Times New Roman"/>
                <w:b/>
                <w:color w:val="000000" w:themeColor="text1"/>
                <w:sz w:val="20"/>
                <w:szCs w:val="20"/>
                <w:u w:val="single"/>
                <w:lang w:val="en-US" w:eastAsia="ko-KR"/>
                <w14:textFill>
                  <w14:solidFill>
                    <w14:schemeClr w14:val="tx1"/>
                  </w14:solidFill>
                </w14:textFill>
              </w:rPr>
              <w:t>Issue 1-2-7: Which CBW is utilized as the basis for the integral region of OOBE</w:t>
            </w:r>
          </w:p>
          <w:p>
            <w:pPr>
              <w:pStyle w:val="34"/>
              <w:numPr>
                <w:ilvl w:val="0"/>
                <w:numId w:val="9"/>
              </w:numPr>
              <w:overflowPunct/>
              <w:autoSpaceDE/>
              <w:autoSpaceDN/>
              <w:adjustRightInd/>
              <w:spacing w:before="120" w:beforeLines="50" w:after="0"/>
              <w:ind w:left="714" w:hanging="357"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Proposals </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Option 1: The integral region and the boundary of OOBE should be based on UE CBW. (Samsung, vivo, ZTE, China Telecom)</w:t>
            </w:r>
          </w:p>
          <w:p>
            <w:pPr>
              <w:pStyle w:val="34"/>
              <w:numPr>
                <w:ilvl w:val="1"/>
                <w:numId w:val="9"/>
              </w:numPr>
              <w:overflowPunct/>
              <w:autoSpaceDE/>
              <w:autoSpaceDN/>
              <w:adjustRightInd/>
              <w:spacing w:after="120"/>
              <w:ind w:left="1440" w:firstLineChars="0"/>
              <w:jc w:val="both"/>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Option 2: The integral region and boundary of OOBE is based on extended UE CBW. (Sony)</w:t>
            </w:r>
          </w:p>
          <w:p>
            <w:pPr>
              <w:overflowPunct w:val="0"/>
              <w:autoSpaceDE w:val="0"/>
              <w:autoSpaceDN w:val="0"/>
              <w:adjustRightInd w:val="0"/>
              <w:spacing w:after="120"/>
              <w:jc w:val="both"/>
              <w:textAlignment w:val="baseline"/>
              <w:rPr>
                <w:color w:val="000000" w:themeColor="text1"/>
                <w:sz w:val="20"/>
                <w:szCs w:val="20"/>
                <w:lang w:eastAsia="zh-CN"/>
                <w14:textFill>
                  <w14:solidFill>
                    <w14:schemeClr w14:val="tx1"/>
                  </w14:solidFill>
                </w14:textFill>
              </w:rPr>
            </w:pPr>
          </w:p>
          <w:p>
            <w:pPr>
              <w:pStyle w:val="34"/>
              <w:numPr>
                <w:ilvl w:val="0"/>
                <w:numId w:val="9"/>
              </w:numPr>
              <w:overflowPunct/>
              <w:autoSpaceDE/>
              <w:autoSpaceDN/>
              <w:adjustRightInd/>
              <w:spacing w:after="120"/>
              <w:ind w:left="720" w:firstLineChars="0"/>
              <w:textAlignment w:val="auto"/>
              <w:rPr>
                <w:rFonts w:eastAsia="宋体"/>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WF</w:t>
            </w:r>
          </w:p>
          <w:p>
            <w:pPr>
              <w:pStyle w:val="34"/>
              <w:numPr>
                <w:ilvl w:val="1"/>
                <w:numId w:val="9"/>
              </w:numPr>
              <w:overflowPunct/>
              <w:autoSpaceDE/>
              <w:autoSpaceDN/>
              <w:adjustRightInd/>
              <w:spacing w:after="120"/>
              <w:ind w:left="1440" w:firstLineChars="0"/>
              <w:textAlignment w:val="auto"/>
              <w:rPr>
                <w:color w:val="000000" w:themeColor="text1"/>
                <w:sz w:val="20"/>
                <w:szCs w:val="20"/>
                <w:lang w:eastAsia="zh-CN"/>
                <w14:textFill>
                  <w14:solidFill>
                    <w14:schemeClr w14:val="tx1"/>
                  </w14:solidFill>
                </w14:textFill>
              </w:rPr>
            </w:pPr>
            <w:r>
              <w:rPr>
                <w:rFonts w:eastAsia="宋体"/>
                <w:color w:val="000000" w:themeColor="text1"/>
                <w:sz w:val="20"/>
                <w:szCs w:val="20"/>
                <w:lang w:eastAsia="zh-CN"/>
                <w14:textFill>
                  <w14:solidFill>
                    <w14:schemeClr w14:val="tx1"/>
                  </w14:solidFill>
                </w14:textFill>
              </w:rPr>
              <w:t xml:space="preserve"> FFS in next meeting</w:t>
            </w:r>
          </w:p>
          <w:p>
            <w:pPr>
              <w:overflowPunct w:val="0"/>
              <w:autoSpaceDE w:val="0"/>
              <w:autoSpaceDN w:val="0"/>
              <w:adjustRightInd w:val="0"/>
              <w:spacing w:after="180"/>
              <w:textAlignment w:val="baseline"/>
              <w:rPr>
                <w:rFonts w:hint="default" w:cs="Times New Roman"/>
                <w:sz w:val="20"/>
                <w:szCs w:val="20"/>
                <w:vertAlign w:val="baseline"/>
                <w:lang w:val="en-US" w:eastAsia="zh-CN"/>
              </w:rPr>
            </w:pPr>
          </w:p>
        </w:tc>
      </w:tr>
    </w:tbl>
    <w:p>
      <w:pPr>
        <w:rPr>
          <w:rFonts w:hint="eastAsia"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For the basis for the integral region of OOBE,</w:t>
      </w:r>
      <w:r>
        <w:rPr>
          <w:rFonts w:hint="eastAsia" w:cs="Times New Roman"/>
          <w:kern w:val="2"/>
          <w:sz w:val="20"/>
          <w:szCs w:val="20"/>
          <w:lang w:val="en-US" w:eastAsia="zh-CN" w:bidi="ar-SA"/>
        </w:rPr>
        <w:t xml:space="preserve"> if we use the SEM and spurious emission requirement based on extended UE CBW instead of UE CBW, to some extent, it means the level of SEM and spurious emission requirement is relaxed. However, relaxing the level of spurious emission is not feasible. </w:t>
      </w:r>
    </w:p>
    <w:p>
      <w:pPr>
        <w:rPr>
          <w:rFonts w:hint="eastAsia" w:cs="Times New Roman"/>
          <w:kern w:val="2"/>
          <w:sz w:val="20"/>
          <w:szCs w:val="20"/>
          <w:lang w:val="en-US" w:eastAsia="zh-CN" w:bidi="ar-SA"/>
        </w:rPr>
      </w:pPr>
      <w:r>
        <w:rPr>
          <w:rFonts w:hint="eastAsia" w:cs="Times New Roman"/>
          <w:kern w:val="2"/>
          <w:sz w:val="20"/>
          <w:szCs w:val="20"/>
          <w:lang w:val="en-US" w:eastAsia="zh-CN" w:bidi="ar-SA"/>
        </w:rPr>
        <w:t>In addition, a</w:t>
      </w:r>
      <w:r>
        <w:rPr>
          <w:rFonts w:hint="eastAsia" w:ascii="Times New Roman" w:hAnsi="Times New Roman" w:eastAsia="宋体" w:cs="Times New Roman"/>
          <w:kern w:val="2"/>
          <w:sz w:val="20"/>
          <w:szCs w:val="20"/>
          <w:lang w:val="en-US" w:eastAsia="zh-CN" w:bidi="ar-SA"/>
        </w:rPr>
        <w:t>ccording to the principle stated in ITU-SM.329, the spurious domain generally consists of frequencies separated from the centre frequency of the emission by 250% or more of the necessary bandwidth of the emission</w:t>
      </w:r>
      <w:r>
        <w:rPr>
          <w:rFonts w:hint="eastAsia" w:cs="Times New Roman"/>
          <w:kern w:val="2"/>
          <w:sz w:val="20"/>
          <w:szCs w:val="20"/>
          <w:lang w:val="en-US" w:eastAsia="zh-CN" w:bidi="ar-SA"/>
        </w:rPr>
        <w:t>. If integral region and boundary of OOBE is based on extended UE CBW, which means OOB boundary will be extended to 3/2 UE CBW larger than 1/2 UE CBW, it will be looser than the requirement defined in ITU. So the integral region and boundary of OOBE should be based on UE CBW.</w:t>
      </w:r>
    </w:p>
    <w:p>
      <w:pPr>
        <w:rPr>
          <w:rFonts w:hint="eastAsia" w:cs="Times New Roman"/>
          <w:sz w:val="20"/>
          <w:szCs w:val="20"/>
          <w:lang w:val="en-US" w:eastAsia="zh-CN"/>
        </w:rPr>
      </w:pPr>
      <w:r>
        <w:rPr>
          <w:rFonts w:hint="eastAsia"/>
          <w:b/>
          <w:bCs/>
          <w:i w:val="0"/>
          <w:iCs w:val="0"/>
          <w:sz w:val="20"/>
          <w:szCs w:val="20"/>
          <w:lang w:val="en-US" w:eastAsia="zh-CN"/>
        </w:rPr>
        <w:t>Proposal 4: The integral region and boundary of OOBE should be based on UE CBW.</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b/>
          <w:bCs/>
          <w:i w:val="0"/>
          <w:iCs w:val="0"/>
          <w:sz w:val="20"/>
          <w:szCs w:val="20"/>
          <w:lang w:val="en-US" w:eastAsia="zh-CN"/>
        </w:rPr>
      </w:pPr>
      <w:r>
        <w:rPr>
          <w:rFonts w:hint="eastAsia"/>
          <w:b/>
          <w:bCs/>
          <w:i w:val="0"/>
          <w:iCs w:val="0"/>
          <w:sz w:val="20"/>
          <w:szCs w:val="20"/>
          <w:lang w:val="en-US" w:eastAsia="zh-CN"/>
        </w:rPr>
        <w:t>Proposal 1: From the impact to spurious emission boundary perspective, it is proposed to use UE CBW based approach of converting outer RB allocation to inner RB allocation.</w:t>
      </w:r>
    </w:p>
    <w:p>
      <w:pPr>
        <w:rPr>
          <w:rFonts w:hint="default"/>
          <w:b/>
          <w:bCs/>
          <w:i w:val="0"/>
          <w:iCs w:val="0"/>
          <w:sz w:val="20"/>
          <w:szCs w:val="20"/>
          <w:lang w:val="en-US" w:eastAsia="zh-CN"/>
        </w:rPr>
      </w:pPr>
      <w:r>
        <w:rPr>
          <w:rFonts w:hint="eastAsia"/>
          <w:b/>
          <w:bCs/>
          <w:i w:val="0"/>
          <w:iCs w:val="0"/>
          <w:sz w:val="20"/>
          <w:szCs w:val="20"/>
          <w:lang w:val="en-US" w:eastAsia="zh-CN"/>
        </w:rPr>
        <w:t>Proposal 2: ACLR and SEM should be applicable from the edge of extended UE CBW instead of the BS CBW.</w:t>
      </w:r>
    </w:p>
    <w:p>
      <w:pPr>
        <w:rPr>
          <w:rFonts w:hint="eastAsia"/>
          <w:b/>
          <w:bCs/>
          <w:i w:val="0"/>
          <w:iCs w:val="0"/>
          <w:sz w:val="20"/>
          <w:szCs w:val="20"/>
          <w:lang w:val="en-US" w:eastAsia="zh-CN"/>
        </w:rPr>
      </w:pPr>
      <w:r>
        <w:rPr>
          <w:rFonts w:hint="eastAsia"/>
          <w:b/>
          <w:bCs/>
          <w:i w:val="0"/>
          <w:iCs w:val="0"/>
          <w:sz w:val="20"/>
          <w:szCs w:val="20"/>
          <w:lang w:val="en-US" w:eastAsia="zh-CN"/>
        </w:rPr>
        <w:t>Proposal 3: When extend IBE for usage between edges of UE CBW and extended UE CBW, it can not revise the general limit equation of IBE based on the extended UE CBW.</w:t>
      </w:r>
    </w:p>
    <w:p>
      <w:pPr>
        <w:rPr>
          <w:rFonts w:hint="eastAsia" w:ascii="Times New Roman" w:hAnsi="Times New Roman" w:eastAsia="宋体" w:cs="Times New Roman"/>
          <w:b w:val="0"/>
          <w:bCs w:val="0"/>
          <w:kern w:val="0"/>
          <w:sz w:val="20"/>
          <w:szCs w:val="20"/>
          <w:highlight w:val="none"/>
          <w:lang w:val="en-US" w:eastAsia="zh-CN" w:bidi="ar-SA"/>
        </w:rPr>
      </w:pPr>
      <w:r>
        <w:rPr>
          <w:rFonts w:hint="eastAsia"/>
          <w:b/>
          <w:bCs/>
          <w:i w:val="0"/>
          <w:iCs w:val="0"/>
          <w:sz w:val="20"/>
          <w:szCs w:val="20"/>
          <w:lang w:val="en-US" w:eastAsia="zh-CN"/>
        </w:rPr>
        <w:t>Proposal 4: The integral region and boundary of OOBE should be based on UE CBW.</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R4-2411851</w:t>
      </w:r>
      <w:r>
        <w:rPr>
          <w:rFonts w:hint="eastAsia"/>
          <w:color w:val="auto"/>
          <w:sz w:val="20"/>
          <w:szCs w:val="20"/>
          <w:lang w:val="en-US" w:eastAsia="zh-CN"/>
        </w:rPr>
        <w:t>, Discussion on power domain enhancements for single carrier, ZTE Corporation, Sanechips</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2"/>
      <w:numFmt w:val="bullet"/>
      <w:lvlText w:val="-"/>
      <w:lvlJc w:val="left"/>
      <w:pPr>
        <w:ind w:left="1080" w:hanging="360"/>
      </w:pPr>
      <w:rPr>
        <w:rFonts w:hint="eastAsia" w:ascii="New York" w:hAnsi="New York" w:eastAsia="New York" w:cs="宋体"/>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7"/>
  </w:num>
  <w:num w:numId="4">
    <w:abstractNumId w:val="4"/>
  </w:num>
  <w:num w:numId="5">
    <w:abstractNumId w:val="5"/>
  </w:num>
  <w:num w:numId="6">
    <w:abstractNumId w:val="1"/>
  </w:num>
  <w:num w:numId="7">
    <w:abstractNumId w:val="0"/>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85920"/>
    <w:rsid w:val="01101B26"/>
    <w:rsid w:val="011A0B49"/>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94550"/>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F225A"/>
    <w:rsid w:val="05636085"/>
    <w:rsid w:val="057D1D66"/>
    <w:rsid w:val="059D265F"/>
    <w:rsid w:val="059E1515"/>
    <w:rsid w:val="05B92EC1"/>
    <w:rsid w:val="05DB542B"/>
    <w:rsid w:val="05E00AEA"/>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885EF4"/>
    <w:rsid w:val="0992510E"/>
    <w:rsid w:val="09B33AE4"/>
    <w:rsid w:val="09BD407A"/>
    <w:rsid w:val="09BF125C"/>
    <w:rsid w:val="09C12CF5"/>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646846"/>
    <w:rsid w:val="0A7B4D83"/>
    <w:rsid w:val="0A81506C"/>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8D2D6F"/>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2728"/>
    <w:rsid w:val="0C825F28"/>
    <w:rsid w:val="0C89028B"/>
    <w:rsid w:val="0C8B63A3"/>
    <w:rsid w:val="0CB94808"/>
    <w:rsid w:val="0CC146A9"/>
    <w:rsid w:val="0CC37BC2"/>
    <w:rsid w:val="0CC44C49"/>
    <w:rsid w:val="0CD87ABE"/>
    <w:rsid w:val="0CE26C42"/>
    <w:rsid w:val="0CE632FF"/>
    <w:rsid w:val="0CE76B48"/>
    <w:rsid w:val="0CEB5DBE"/>
    <w:rsid w:val="0CFB523A"/>
    <w:rsid w:val="0D074D4A"/>
    <w:rsid w:val="0D0A3371"/>
    <w:rsid w:val="0D0C5764"/>
    <w:rsid w:val="0D1B1E9C"/>
    <w:rsid w:val="0D1C2E6E"/>
    <w:rsid w:val="0D2D3ACB"/>
    <w:rsid w:val="0D4B44A1"/>
    <w:rsid w:val="0D6811B4"/>
    <w:rsid w:val="0D6E2620"/>
    <w:rsid w:val="0D704E21"/>
    <w:rsid w:val="0D755FFE"/>
    <w:rsid w:val="0D7F48FE"/>
    <w:rsid w:val="0D883C88"/>
    <w:rsid w:val="0D8A6002"/>
    <w:rsid w:val="0D8C6C09"/>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02F85"/>
    <w:rsid w:val="10C715C5"/>
    <w:rsid w:val="10D335EF"/>
    <w:rsid w:val="10E255A6"/>
    <w:rsid w:val="10E746EA"/>
    <w:rsid w:val="10E83FE0"/>
    <w:rsid w:val="10EC3168"/>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35EB1"/>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E5AA6"/>
    <w:rsid w:val="12811F99"/>
    <w:rsid w:val="128B2749"/>
    <w:rsid w:val="128E1E81"/>
    <w:rsid w:val="129019B5"/>
    <w:rsid w:val="129811DB"/>
    <w:rsid w:val="129937EE"/>
    <w:rsid w:val="129E6282"/>
    <w:rsid w:val="129F3A3A"/>
    <w:rsid w:val="12A76451"/>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50E7F"/>
    <w:rsid w:val="146B69A8"/>
    <w:rsid w:val="146C5189"/>
    <w:rsid w:val="146F1089"/>
    <w:rsid w:val="14816B50"/>
    <w:rsid w:val="148313F4"/>
    <w:rsid w:val="1485665F"/>
    <w:rsid w:val="148829D5"/>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8133D5"/>
    <w:rsid w:val="159F73BB"/>
    <w:rsid w:val="15B03F28"/>
    <w:rsid w:val="15C15E25"/>
    <w:rsid w:val="15C42571"/>
    <w:rsid w:val="15E30A80"/>
    <w:rsid w:val="15FD2FA2"/>
    <w:rsid w:val="160125B6"/>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8DD3194"/>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36F0E"/>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36D4A"/>
    <w:rsid w:val="1ACF5EB8"/>
    <w:rsid w:val="1AD26086"/>
    <w:rsid w:val="1AD86198"/>
    <w:rsid w:val="1ADD5ACE"/>
    <w:rsid w:val="1AE013F8"/>
    <w:rsid w:val="1AE8570C"/>
    <w:rsid w:val="1AF7297B"/>
    <w:rsid w:val="1AF97DCC"/>
    <w:rsid w:val="1AFB06A3"/>
    <w:rsid w:val="1B062896"/>
    <w:rsid w:val="1B0A0A03"/>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D02ED8"/>
    <w:rsid w:val="1BE32C74"/>
    <w:rsid w:val="1BF46563"/>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65CA2"/>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5486A"/>
    <w:rsid w:val="1F3E662A"/>
    <w:rsid w:val="1F4F2219"/>
    <w:rsid w:val="1F614D01"/>
    <w:rsid w:val="1F721405"/>
    <w:rsid w:val="1F935819"/>
    <w:rsid w:val="1FA036A3"/>
    <w:rsid w:val="1FA6556D"/>
    <w:rsid w:val="1FAF2571"/>
    <w:rsid w:val="1FB33036"/>
    <w:rsid w:val="1FBE5DDE"/>
    <w:rsid w:val="1FC55EDA"/>
    <w:rsid w:val="1FC658C9"/>
    <w:rsid w:val="1FCE593C"/>
    <w:rsid w:val="1FE23C7B"/>
    <w:rsid w:val="1FE312AC"/>
    <w:rsid w:val="1FEC5915"/>
    <w:rsid w:val="1FED32EF"/>
    <w:rsid w:val="1FF82884"/>
    <w:rsid w:val="201E6D7C"/>
    <w:rsid w:val="20446081"/>
    <w:rsid w:val="204852AD"/>
    <w:rsid w:val="204A5E48"/>
    <w:rsid w:val="204A6449"/>
    <w:rsid w:val="204E6676"/>
    <w:rsid w:val="20580C17"/>
    <w:rsid w:val="20595924"/>
    <w:rsid w:val="205A5AA0"/>
    <w:rsid w:val="20773A28"/>
    <w:rsid w:val="208574F4"/>
    <w:rsid w:val="208C4449"/>
    <w:rsid w:val="208F6BAF"/>
    <w:rsid w:val="209414DB"/>
    <w:rsid w:val="20966296"/>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810744"/>
    <w:rsid w:val="218D6EF5"/>
    <w:rsid w:val="2195668B"/>
    <w:rsid w:val="219F69EC"/>
    <w:rsid w:val="21A130EA"/>
    <w:rsid w:val="21AC420B"/>
    <w:rsid w:val="21B405F8"/>
    <w:rsid w:val="21B5366A"/>
    <w:rsid w:val="21C267BF"/>
    <w:rsid w:val="21C67C42"/>
    <w:rsid w:val="21CB6217"/>
    <w:rsid w:val="21CD6BCD"/>
    <w:rsid w:val="21CE6067"/>
    <w:rsid w:val="21CF439A"/>
    <w:rsid w:val="21D824E4"/>
    <w:rsid w:val="21F00127"/>
    <w:rsid w:val="21F7745C"/>
    <w:rsid w:val="22035C75"/>
    <w:rsid w:val="221A39C9"/>
    <w:rsid w:val="221D2FA3"/>
    <w:rsid w:val="2226635F"/>
    <w:rsid w:val="222D4F0B"/>
    <w:rsid w:val="223A29CF"/>
    <w:rsid w:val="223D7545"/>
    <w:rsid w:val="22411D14"/>
    <w:rsid w:val="22423BE1"/>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0731A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A628AF"/>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004D1"/>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237C3"/>
    <w:rsid w:val="267550B9"/>
    <w:rsid w:val="26996DAE"/>
    <w:rsid w:val="26BE1846"/>
    <w:rsid w:val="26C472EC"/>
    <w:rsid w:val="26E51F4F"/>
    <w:rsid w:val="26EC491A"/>
    <w:rsid w:val="26ED73E1"/>
    <w:rsid w:val="26F503CD"/>
    <w:rsid w:val="27036506"/>
    <w:rsid w:val="27047832"/>
    <w:rsid w:val="2706037D"/>
    <w:rsid w:val="27077793"/>
    <w:rsid w:val="270D152E"/>
    <w:rsid w:val="270D21A5"/>
    <w:rsid w:val="271436A9"/>
    <w:rsid w:val="27204B5D"/>
    <w:rsid w:val="27257DE1"/>
    <w:rsid w:val="272F31A0"/>
    <w:rsid w:val="27310CAC"/>
    <w:rsid w:val="27342901"/>
    <w:rsid w:val="273D2762"/>
    <w:rsid w:val="27470B72"/>
    <w:rsid w:val="27525E32"/>
    <w:rsid w:val="27550750"/>
    <w:rsid w:val="27604751"/>
    <w:rsid w:val="276D111F"/>
    <w:rsid w:val="2778582E"/>
    <w:rsid w:val="27806765"/>
    <w:rsid w:val="27821DE7"/>
    <w:rsid w:val="27832596"/>
    <w:rsid w:val="278C1620"/>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1EB1"/>
    <w:rsid w:val="27F1498B"/>
    <w:rsid w:val="27F80CA0"/>
    <w:rsid w:val="28021134"/>
    <w:rsid w:val="2802750E"/>
    <w:rsid w:val="28027A71"/>
    <w:rsid w:val="280A12DF"/>
    <w:rsid w:val="28171FD2"/>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18726D"/>
    <w:rsid w:val="294E766A"/>
    <w:rsid w:val="2952590A"/>
    <w:rsid w:val="295545AF"/>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2D25D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C44459"/>
    <w:rsid w:val="2AC70B30"/>
    <w:rsid w:val="2ACC2AAF"/>
    <w:rsid w:val="2AD74744"/>
    <w:rsid w:val="2AD91AC2"/>
    <w:rsid w:val="2AE57C95"/>
    <w:rsid w:val="2AF34B3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A11C0B"/>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31FCE"/>
    <w:rsid w:val="2CB600FC"/>
    <w:rsid w:val="2CCB6E18"/>
    <w:rsid w:val="2CCF5C52"/>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19011B"/>
    <w:rsid w:val="2E34792A"/>
    <w:rsid w:val="2E376AEB"/>
    <w:rsid w:val="2E437E73"/>
    <w:rsid w:val="2E4A5201"/>
    <w:rsid w:val="2E5034DC"/>
    <w:rsid w:val="2E572AB9"/>
    <w:rsid w:val="2E59712E"/>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E2AF2"/>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883435"/>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D1D4E"/>
    <w:rsid w:val="350F6258"/>
    <w:rsid w:val="351A603C"/>
    <w:rsid w:val="351E2B92"/>
    <w:rsid w:val="352821F6"/>
    <w:rsid w:val="3533698A"/>
    <w:rsid w:val="35387F19"/>
    <w:rsid w:val="3539550B"/>
    <w:rsid w:val="353C298A"/>
    <w:rsid w:val="354D5E0E"/>
    <w:rsid w:val="355D10E3"/>
    <w:rsid w:val="356150BC"/>
    <w:rsid w:val="356678B4"/>
    <w:rsid w:val="3573649F"/>
    <w:rsid w:val="357E4B0A"/>
    <w:rsid w:val="35866D7F"/>
    <w:rsid w:val="358F6BDF"/>
    <w:rsid w:val="35A440D7"/>
    <w:rsid w:val="35C06D50"/>
    <w:rsid w:val="35CD6F14"/>
    <w:rsid w:val="35D24294"/>
    <w:rsid w:val="35D71152"/>
    <w:rsid w:val="35DB0628"/>
    <w:rsid w:val="35F325E5"/>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4F25D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7EA14D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752B81"/>
    <w:rsid w:val="39872512"/>
    <w:rsid w:val="39A602F9"/>
    <w:rsid w:val="39AF6354"/>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A2C04"/>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5D01C0"/>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2D0CA4"/>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B7A72"/>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41CCE"/>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22CFC"/>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4D35F5"/>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6E4F"/>
    <w:rsid w:val="43CF0206"/>
    <w:rsid w:val="43D50BA1"/>
    <w:rsid w:val="43D85D6D"/>
    <w:rsid w:val="43EC6F1F"/>
    <w:rsid w:val="43F071E5"/>
    <w:rsid w:val="43F124F2"/>
    <w:rsid w:val="43FE44BA"/>
    <w:rsid w:val="43FE63A7"/>
    <w:rsid w:val="440656C2"/>
    <w:rsid w:val="440D5045"/>
    <w:rsid w:val="440F6C97"/>
    <w:rsid w:val="44300615"/>
    <w:rsid w:val="44371929"/>
    <w:rsid w:val="443740AF"/>
    <w:rsid w:val="44480935"/>
    <w:rsid w:val="444851FA"/>
    <w:rsid w:val="445176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0B0825"/>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0C"/>
    <w:rsid w:val="45BE6191"/>
    <w:rsid w:val="45BE648C"/>
    <w:rsid w:val="45C661BC"/>
    <w:rsid w:val="45CA082F"/>
    <w:rsid w:val="45CD2126"/>
    <w:rsid w:val="45CF358A"/>
    <w:rsid w:val="45DD738A"/>
    <w:rsid w:val="45DE3218"/>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EE46BE"/>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CC2C0E"/>
    <w:rsid w:val="49D7694D"/>
    <w:rsid w:val="49D87799"/>
    <w:rsid w:val="49F400AC"/>
    <w:rsid w:val="49F9104E"/>
    <w:rsid w:val="4A0244D3"/>
    <w:rsid w:val="4A255046"/>
    <w:rsid w:val="4A2E1525"/>
    <w:rsid w:val="4A5859A3"/>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D7328"/>
    <w:rsid w:val="4B250CF8"/>
    <w:rsid w:val="4B2873FD"/>
    <w:rsid w:val="4B3D4DE9"/>
    <w:rsid w:val="4B544FDD"/>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8746E"/>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B4B37"/>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51840"/>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54F1B"/>
    <w:rsid w:val="4E7F1E8F"/>
    <w:rsid w:val="4E862481"/>
    <w:rsid w:val="4E8C4141"/>
    <w:rsid w:val="4E901714"/>
    <w:rsid w:val="4E93511F"/>
    <w:rsid w:val="4E944F74"/>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10FA1"/>
    <w:rsid w:val="515400FF"/>
    <w:rsid w:val="515441FE"/>
    <w:rsid w:val="515D735D"/>
    <w:rsid w:val="5161556E"/>
    <w:rsid w:val="51631E12"/>
    <w:rsid w:val="516516D5"/>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2E2CD6"/>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504048"/>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37DF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5DB"/>
    <w:rsid w:val="594079B2"/>
    <w:rsid w:val="595B45EE"/>
    <w:rsid w:val="596A688E"/>
    <w:rsid w:val="59860400"/>
    <w:rsid w:val="5987482A"/>
    <w:rsid w:val="598A58C2"/>
    <w:rsid w:val="598C6F19"/>
    <w:rsid w:val="599C49A8"/>
    <w:rsid w:val="59A252D5"/>
    <w:rsid w:val="59A36725"/>
    <w:rsid w:val="59AD4E2E"/>
    <w:rsid w:val="59B14918"/>
    <w:rsid w:val="59B21BF9"/>
    <w:rsid w:val="59B45AB9"/>
    <w:rsid w:val="59B80C41"/>
    <w:rsid w:val="59BB4EA3"/>
    <w:rsid w:val="59C02FE0"/>
    <w:rsid w:val="59D02B0C"/>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C50F4"/>
    <w:rsid w:val="5ACC4940"/>
    <w:rsid w:val="5ACD3CD2"/>
    <w:rsid w:val="5AD7333E"/>
    <w:rsid w:val="5AD838D3"/>
    <w:rsid w:val="5AD86A6D"/>
    <w:rsid w:val="5ADF4325"/>
    <w:rsid w:val="5AE8708E"/>
    <w:rsid w:val="5AEC14F6"/>
    <w:rsid w:val="5AF124A4"/>
    <w:rsid w:val="5B0A4D6B"/>
    <w:rsid w:val="5B141085"/>
    <w:rsid w:val="5B28192B"/>
    <w:rsid w:val="5B342BAD"/>
    <w:rsid w:val="5B392581"/>
    <w:rsid w:val="5B4007EF"/>
    <w:rsid w:val="5B4D1F7C"/>
    <w:rsid w:val="5B51561D"/>
    <w:rsid w:val="5B52164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2E6243"/>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3370DF"/>
    <w:rsid w:val="5F683B6E"/>
    <w:rsid w:val="5F684490"/>
    <w:rsid w:val="5F697EE8"/>
    <w:rsid w:val="5F6D06D6"/>
    <w:rsid w:val="5F6E768C"/>
    <w:rsid w:val="5F875C0C"/>
    <w:rsid w:val="5F8A0701"/>
    <w:rsid w:val="5F8F0B9E"/>
    <w:rsid w:val="5F8F267A"/>
    <w:rsid w:val="5F941274"/>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4A544A"/>
    <w:rsid w:val="625272C3"/>
    <w:rsid w:val="62715337"/>
    <w:rsid w:val="6280204D"/>
    <w:rsid w:val="6290769B"/>
    <w:rsid w:val="62943D08"/>
    <w:rsid w:val="629718F1"/>
    <w:rsid w:val="62995E6F"/>
    <w:rsid w:val="62A05735"/>
    <w:rsid w:val="62A411F8"/>
    <w:rsid w:val="62A81A26"/>
    <w:rsid w:val="62B0109F"/>
    <w:rsid w:val="62BA7A46"/>
    <w:rsid w:val="62C376AC"/>
    <w:rsid w:val="62CE13CB"/>
    <w:rsid w:val="62D2197B"/>
    <w:rsid w:val="62DB028F"/>
    <w:rsid w:val="62EE4623"/>
    <w:rsid w:val="62F214BD"/>
    <w:rsid w:val="62F6011A"/>
    <w:rsid w:val="62FD2BA9"/>
    <w:rsid w:val="63064FB6"/>
    <w:rsid w:val="6327422B"/>
    <w:rsid w:val="6328597C"/>
    <w:rsid w:val="633B249F"/>
    <w:rsid w:val="633D1842"/>
    <w:rsid w:val="635123F0"/>
    <w:rsid w:val="63552D76"/>
    <w:rsid w:val="6359778B"/>
    <w:rsid w:val="635B63E3"/>
    <w:rsid w:val="63677698"/>
    <w:rsid w:val="636C452A"/>
    <w:rsid w:val="63771D13"/>
    <w:rsid w:val="638C3395"/>
    <w:rsid w:val="63B37325"/>
    <w:rsid w:val="63B82D87"/>
    <w:rsid w:val="63BA3154"/>
    <w:rsid w:val="63CA2E8B"/>
    <w:rsid w:val="63CF097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733E15"/>
    <w:rsid w:val="65822810"/>
    <w:rsid w:val="65870C45"/>
    <w:rsid w:val="658F6B54"/>
    <w:rsid w:val="659705FF"/>
    <w:rsid w:val="65AA6346"/>
    <w:rsid w:val="65B01B69"/>
    <w:rsid w:val="65B56C47"/>
    <w:rsid w:val="65B7794D"/>
    <w:rsid w:val="65B8262E"/>
    <w:rsid w:val="65BC15EE"/>
    <w:rsid w:val="65CC4C22"/>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059A"/>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A2E65"/>
    <w:rsid w:val="687F607E"/>
    <w:rsid w:val="6887281F"/>
    <w:rsid w:val="688B4E92"/>
    <w:rsid w:val="689565AD"/>
    <w:rsid w:val="689A41FB"/>
    <w:rsid w:val="689E57F0"/>
    <w:rsid w:val="68A34C5C"/>
    <w:rsid w:val="68C93BC5"/>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A2066"/>
    <w:rsid w:val="6A1D59EC"/>
    <w:rsid w:val="6A247F72"/>
    <w:rsid w:val="6A286809"/>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AF473A"/>
    <w:rsid w:val="6BB07973"/>
    <w:rsid w:val="6BCA7437"/>
    <w:rsid w:val="6BE727F5"/>
    <w:rsid w:val="6C001608"/>
    <w:rsid w:val="6C08064C"/>
    <w:rsid w:val="6C0858B3"/>
    <w:rsid w:val="6C132D21"/>
    <w:rsid w:val="6C240DF3"/>
    <w:rsid w:val="6C45610F"/>
    <w:rsid w:val="6C546992"/>
    <w:rsid w:val="6C59472D"/>
    <w:rsid w:val="6C5A4564"/>
    <w:rsid w:val="6C5E2B25"/>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B6F43"/>
    <w:rsid w:val="7032079E"/>
    <w:rsid w:val="70383665"/>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F64A63"/>
    <w:rsid w:val="71F870B8"/>
    <w:rsid w:val="72021233"/>
    <w:rsid w:val="720B2A1D"/>
    <w:rsid w:val="72197AB8"/>
    <w:rsid w:val="72502F9F"/>
    <w:rsid w:val="7251515C"/>
    <w:rsid w:val="725817D3"/>
    <w:rsid w:val="726E6AD4"/>
    <w:rsid w:val="727C422C"/>
    <w:rsid w:val="7288329F"/>
    <w:rsid w:val="728D72D4"/>
    <w:rsid w:val="728E71EE"/>
    <w:rsid w:val="729121AF"/>
    <w:rsid w:val="7292045A"/>
    <w:rsid w:val="72974DBE"/>
    <w:rsid w:val="72983FF8"/>
    <w:rsid w:val="72985E1E"/>
    <w:rsid w:val="72A20C20"/>
    <w:rsid w:val="72AC5E95"/>
    <w:rsid w:val="72B57AED"/>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50355"/>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0574F"/>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B568B"/>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CF6283"/>
    <w:rsid w:val="78D74444"/>
    <w:rsid w:val="78DA30DC"/>
    <w:rsid w:val="78EB5FB1"/>
    <w:rsid w:val="78EC45D8"/>
    <w:rsid w:val="78EC6DF0"/>
    <w:rsid w:val="78F02AF8"/>
    <w:rsid w:val="78F5335B"/>
    <w:rsid w:val="78F554EB"/>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846671"/>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50F30"/>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07B7F"/>
    <w:rsid w:val="7BAA485C"/>
    <w:rsid w:val="7BAD1591"/>
    <w:rsid w:val="7BCD64C2"/>
    <w:rsid w:val="7BD3716B"/>
    <w:rsid w:val="7BE42529"/>
    <w:rsid w:val="7BEC2711"/>
    <w:rsid w:val="7BF55850"/>
    <w:rsid w:val="7C1054B7"/>
    <w:rsid w:val="7C131E53"/>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A3A10"/>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42E03"/>
    <w:rsid w:val="7D3B3737"/>
    <w:rsid w:val="7D3D73AF"/>
    <w:rsid w:val="7D3F6E5D"/>
    <w:rsid w:val="7D5052A6"/>
    <w:rsid w:val="7D514310"/>
    <w:rsid w:val="7D5B27C9"/>
    <w:rsid w:val="7D62117D"/>
    <w:rsid w:val="7D6B7F02"/>
    <w:rsid w:val="7D6F5CEF"/>
    <w:rsid w:val="7D834A16"/>
    <w:rsid w:val="7D9D0A97"/>
    <w:rsid w:val="7D9D1E8D"/>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E0670"/>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2024-10-07T02:54:38Z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EAF8F6C2588B4568962C23E86F638826</vt:lpwstr>
  </property>
</Properties>
</file>